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关于开展第四届成渝地区双城经济圈</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发展论坛征文的通知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各有关单位、专家学者：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深入贯彻落实党的二十大精神和二十届二中、三中全会精神，全面落实习近平总书记关于成渝地区双城经济圈建设重要讲话重要指示精神，在中国式现代化宏大场景中深化成渝地区协同发展理论与实践研究，助力成渝地区打造带动全国高质量发展的重要增长极，由重庆市委宣传部和四川省委宣传部指导，重庆市社科联和四川省社科联联合主办，西南大学承办、重庆工商大学和西南财经大学协办的“第四届成渝地区双城经济圈发展论坛”拟于2025年11月中旬在重庆召开。现面向社会各界公开征集论文，欢迎广大专家、学者围绕主题撰写论文，踊跃赐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一、征文方向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围绕中国式现代化的本质要求和成渝地区双城经济圈发展实践，主要聚焦但不限于以下建议方向：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1.“十五五”成渝地区双城经济圈建设路径优化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2.成渝地区双城经济圈现代化产业体系构建与经济高质量发展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3.成渝地区双城经济圈科技创新与产业创新融合发展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4.成渝地区双城经济圈新质生产力发展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5.成渝地区双城经济圈城乡融合发展与乡村全面振兴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6.成渝地区双城经济圈共同富裕与社会治理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7.成渝地区双城经济圈高水平开放与内陆改革开放高地建设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8.成渝地区双城经济圈经济区与行政区适度分离改革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9.成渝地区双城经济圈超大城市治理机制与营商环境建设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10.成渝毗邻地区产业协同与一体化发展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11.成渝地区双城经济圈生态屏障共建与清洁能源走廊联动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12.成渝地区双城经济圈巴蜀文化旅游走廊建设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13.成渝地区双城经济圈科教人才培养协同机制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14.成渝地区双城经济圈数字经济与科技创新融合发展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二、征文要求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1.选题新颖：紧扣论坛主题，立足成渝实践，注重理论创新与现实价值。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2.原创性要求：未公开发表的学术论文，中英文均可，重复率低于15%。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3.格式要求：字数12000-15000字为宜，包含摘要、关键词、论文正文、参考文献等，书写规范，排版整洁。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4.投稿方式：提交Word文档至邮箱cyforum2025@126.com，邮件主题命名为“第四届论坛征文+作者+单位+标题”。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5.截止日期：2025年9月30日。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三、其他事项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本次论坛得到《改革》《经济学家》《财经科学》《西南大学学报（社会科学版）》《重庆大学学报（社会科学版）》《西部论坛》《当代金融研究》等学术期刊的支持，论坛将组织专家评选优秀论文，推荐至上述期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2.入选论文将收录于《第四届成渝地区双城经济圈发展论坛论文集》。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黑体_GBK" w:hAnsi="方正黑体_GBK" w:eastAsia="方正黑体_GBK" w:cs="方正黑体_GBK"/>
          <w:sz w:val="32"/>
          <w:szCs w:val="32"/>
        </w:rPr>
      </w:pPr>
      <w:bookmarkStart w:id="0" w:name="_GoBack"/>
      <w:r>
        <w:rPr>
          <w:rFonts w:hint="eastAsia" w:ascii="方正黑体_GBK" w:hAnsi="方正黑体_GBK" w:eastAsia="方正黑体_GBK" w:cs="方正黑体_GBK"/>
          <w:sz w:val="32"/>
          <w:szCs w:val="32"/>
        </w:rPr>
        <w:t>四、联系方式</w:t>
      </w:r>
    </w:p>
    <w:bookmarkEnd w:id="0"/>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联系人：张老师</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电话：18883718726（微信同号）</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重庆市社会科学界联合会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四川省社会科学界联合会</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2025年6月30日</w:t>
      </w:r>
    </w:p>
    <w:sectPr>
      <w:pgSz w:w="11906" w:h="16838"/>
      <w:pgMar w:top="1417" w:right="1701" w:bottom="1417"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文泉驿微米黑"/>
    <w:panose1 w:val="00000000000000000000"/>
    <w:charset w:val="86"/>
    <w:family w:val="auto"/>
    <w:pitch w:val="default"/>
    <w:sig w:usb0="00000000" w:usb1="00000000" w:usb2="00000000" w:usb3="00000000" w:csb0="00000000" w:csb1="00000000"/>
  </w:font>
  <w:font w:name="等线">
    <w:altName w:val="Quicksand Light"/>
    <w:panose1 w:val="00000000000000000000"/>
    <w:charset w:val="00"/>
    <w:family w:val="auto"/>
    <w:pitch w:val="default"/>
    <w:sig w:usb0="00000000" w:usb1="00000000" w:usb2="00000000" w:usb3="00000000" w:csb0="00000000" w:csb1="00000000"/>
  </w:font>
  <w:font w:name="Quicksand Light">
    <w:panose1 w:val="00000400000000000000"/>
    <w:charset w:val="00"/>
    <w:family w:val="auto"/>
    <w:pitch w:val="default"/>
    <w:sig w:usb0="2000000F" w:usb1="00000001" w:usb2="00000000" w:usb3="00000000" w:csb0="20000193"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文泉驿微米黑">
    <w:panose1 w:val="020B0606030804020204"/>
    <w:charset w:val="86"/>
    <w:family w:val="auto"/>
    <w:pitch w:val="default"/>
    <w:sig w:usb0="E10002EF" w:usb1="6BDFFCFB" w:usb2="00800036" w:usb3="00000000" w:csb0="603E019F" w:csb1="DFD70000"/>
  </w:font>
  <w:font w:name="方正宋体S-超大字符集">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